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29CB" w14:textId="77777777" w:rsidR="00A96ECE" w:rsidRDefault="00A96ECE">
      <w:pPr>
        <w:pStyle w:val="Default"/>
        <w:spacing w:after="160" w:line="259" w:lineRule="auto"/>
        <w:rPr>
          <w:rFonts w:ascii="Calibri" w:hAnsi="Calibri"/>
          <w:sz w:val="28"/>
          <w:szCs w:val="28"/>
          <w:u w:val="single"/>
        </w:rPr>
      </w:pPr>
    </w:p>
    <w:p w14:paraId="16135D72" w14:textId="2D9A2CB0" w:rsidR="005967B0" w:rsidRDefault="00D64BE0">
      <w:pPr>
        <w:pStyle w:val="Default"/>
        <w:spacing w:after="160" w:line="259" w:lineRule="auto"/>
        <w:rPr>
          <w:rFonts w:ascii="Calibri" w:eastAsia="Calibri" w:hAnsi="Calibri" w:cs="Calibri"/>
          <w:sz w:val="28"/>
          <w:szCs w:val="28"/>
          <w:u w:val="single"/>
        </w:rPr>
      </w:pPr>
      <w:r>
        <w:rPr>
          <w:noProof/>
        </w:rPr>
        <w:drawing>
          <wp:anchor distT="152400" distB="152400" distL="152400" distR="152400" simplePos="0" relativeHeight="251659264" behindDoc="0" locked="0" layoutInCell="1" allowOverlap="1" wp14:anchorId="3044084F" wp14:editId="3CFF862F">
            <wp:simplePos x="0" y="0"/>
            <wp:positionH relativeFrom="page">
              <wp:posOffset>768151</wp:posOffset>
            </wp:positionH>
            <wp:positionV relativeFrom="page">
              <wp:posOffset>1058068</wp:posOffset>
            </wp:positionV>
            <wp:extent cx="6236279" cy="8086048"/>
            <wp:effectExtent l="0" t="0" r="0" b="0"/>
            <wp:wrapThrough wrapText="bothSides" distL="152400" distR="152400">
              <wp:wrapPolygon edited="1">
                <wp:start x="0" y="0"/>
                <wp:lineTo x="0" y="21600"/>
                <wp:lineTo x="21599" y="21600"/>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9-09-18 at 7.28.02 PM.png"/>
                    <pic:cNvPicPr>
                      <a:picLocks noChangeAspect="1"/>
                    </pic:cNvPicPr>
                  </pic:nvPicPr>
                  <pic:blipFill>
                    <a:blip r:embed="rId7"/>
                    <a:srcRect r="3494" b="2658"/>
                    <a:stretch>
                      <a:fillRect/>
                    </a:stretch>
                  </pic:blipFill>
                  <pic:spPr>
                    <a:xfrm>
                      <a:off x="0" y="0"/>
                      <a:ext cx="6236279" cy="8086048"/>
                    </a:xfrm>
                    <a:prstGeom prst="rect">
                      <a:avLst/>
                    </a:prstGeom>
                    <a:ln w="12700" cap="flat">
                      <a:noFill/>
                      <a:miter lim="400000"/>
                    </a:ln>
                    <a:effectLst/>
                  </pic:spPr>
                </pic:pic>
              </a:graphicData>
            </a:graphic>
          </wp:anchor>
        </w:drawing>
      </w:r>
    </w:p>
    <w:p w14:paraId="7FF48BF8" w14:textId="77777777" w:rsidR="005967B0" w:rsidRDefault="005967B0">
      <w:pPr>
        <w:pStyle w:val="Default"/>
        <w:spacing w:after="160" w:line="259" w:lineRule="auto"/>
        <w:rPr>
          <w:rFonts w:ascii="Calibri" w:eastAsia="Calibri" w:hAnsi="Calibri" w:cs="Calibri"/>
          <w:sz w:val="28"/>
          <w:szCs w:val="28"/>
        </w:rPr>
      </w:pPr>
    </w:p>
    <w:p w14:paraId="3BA3106B" w14:textId="79B9B5DB" w:rsidR="00A96ECE" w:rsidRPr="006E4956" w:rsidRDefault="00A96ECE" w:rsidP="00A96ECE">
      <w:pPr>
        <w:pStyle w:val="Default"/>
        <w:spacing w:after="160" w:line="259" w:lineRule="auto"/>
        <w:ind w:left="360"/>
        <w:rPr>
          <w:rFonts w:ascii="Calibri" w:hAnsi="Calibri"/>
          <w:sz w:val="24"/>
          <w:szCs w:val="24"/>
        </w:rPr>
      </w:pPr>
      <w:r>
        <w:rPr>
          <w:rFonts w:ascii="Calibri" w:hAnsi="Calibri"/>
          <w:sz w:val="28"/>
          <w:szCs w:val="28"/>
          <w:u w:val="single"/>
        </w:rPr>
        <w:t>FILING REQUIREMENTS FOR THE LEYDEN ZONING BOARD OF APPEALS</w:t>
      </w:r>
    </w:p>
    <w:p w14:paraId="63AA93B7" w14:textId="0EB11C9B" w:rsidR="005967B0" w:rsidRDefault="00D64BE0">
      <w:pPr>
        <w:pStyle w:val="Default"/>
        <w:numPr>
          <w:ilvl w:val="0"/>
          <w:numId w:val="2"/>
        </w:numPr>
        <w:spacing w:after="160" w:line="259" w:lineRule="auto"/>
        <w:rPr>
          <w:rFonts w:ascii="Calibri" w:hAnsi="Calibri"/>
          <w:sz w:val="24"/>
          <w:szCs w:val="24"/>
          <w:lang w:val="fr-FR"/>
        </w:rPr>
      </w:pPr>
      <w:r>
        <w:rPr>
          <w:rFonts w:ascii="Calibri" w:hAnsi="Calibri"/>
          <w:sz w:val="24"/>
          <w:szCs w:val="24"/>
          <w:lang w:val="fr-FR"/>
        </w:rPr>
        <w:t xml:space="preserve">Application </w:t>
      </w:r>
      <w:proofErr w:type="spellStart"/>
      <w:r>
        <w:rPr>
          <w:rFonts w:ascii="Calibri" w:hAnsi="Calibri"/>
          <w:sz w:val="24"/>
          <w:szCs w:val="24"/>
          <w:lang w:val="fr-FR"/>
        </w:rPr>
        <w:t>form</w:t>
      </w:r>
      <w:proofErr w:type="spellEnd"/>
      <w:r>
        <w:rPr>
          <w:rFonts w:ascii="Calibri" w:hAnsi="Calibri"/>
          <w:sz w:val="24"/>
          <w:szCs w:val="24"/>
          <w:lang w:val="fr-FR"/>
        </w:rPr>
        <w:t xml:space="preserve"> (6 copies).</w:t>
      </w:r>
    </w:p>
    <w:p w14:paraId="21F1BF9B" w14:textId="77777777" w:rsidR="005967B0" w:rsidRDefault="00D64BE0">
      <w:pPr>
        <w:pStyle w:val="Default"/>
        <w:numPr>
          <w:ilvl w:val="0"/>
          <w:numId w:val="2"/>
        </w:numPr>
        <w:spacing w:after="160" w:line="259" w:lineRule="auto"/>
        <w:rPr>
          <w:rFonts w:ascii="Calibri" w:hAnsi="Calibri"/>
          <w:sz w:val="24"/>
          <w:szCs w:val="24"/>
        </w:rPr>
      </w:pPr>
      <w:r>
        <w:rPr>
          <w:rFonts w:ascii="Calibri" w:hAnsi="Calibri"/>
          <w:sz w:val="24"/>
          <w:szCs w:val="24"/>
        </w:rPr>
        <w:t>Building permit application/denial.</w:t>
      </w:r>
    </w:p>
    <w:p w14:paraId="525054E8" w14:textId="77777777" w:rsidR="005967B0" w:rsidRDefault="00D64BE0">
      <w:pPr>
        <w:pStyle w:val="Default"/>
        <w:numPr>
          <w:ilvl w:val="0"/>
          <w:numId w:val="2"/>
        </w:numPr>
        <w:spacing w:after="160" w:line="259" w:lineRule="auto"/>
        <w:rPr>
          <w:rFonts w:ascii="Calibri" w:hAnsi="Calibri"/>
          <w:sz w:val="24"/>
          <w:szCs w:val="24"/>
        </w:rPr>
      </w:pPr>
      <w:r>
        <w:rPr>
          <w:rFonts w:ascii="Calibri" w:hAnsi="Calibri"/>
          <w:sz w:val="24"/>
          <w:szCs w:val="24"/>
        </w:rPr>
        <w:t xml:space="preserve">Certified plot plan (2 copies) – Plan shall show at a minimum: existing and proposed structures, structure setbacks from Right-of-Way (ROW), side and back lot lines, location of travel way within ROW, locations of driveways, wells, septic system &amp; wetlands. This same information shall also be submitted for </w:t>
      </w:r>
      <w:proofErr w:type="gramStart"/>
      <w:r>
        <w:rPr>
          <w:rFonts w:ascii="Calibri" w:hAnsi="Calibri"/>
          <w:sz w:val="24"/>
          <w:szCs w:val="24"/>
        </w:rPr>
        <w:t>any and all</w:t>
      </w:r>
      <w:proofErr w:type="gramEnd"/>
      <w:r>
        <w:rPr>
          <w:rFonts w:ascii="Calibri" w:hAnsi="Calibri"/>
          <w:sz w:val="24"/>
          <w:szCs w:val="24"/>
        </w:rPr>
        <w:t xml:space="preserve"> abutters within 150’ of the proposed activity.</w:t>
      </w:r>
    </w:p>
    <w:p w14:paraId="6ED61993" w14:textId="77777777" w:rsidR="005967B0" w:rsidRDefault="00D64BE0">
      <w:pPr>
        <w:pStyle w:val="Default"/>
        <w:numPr>
          <w:ilvl w:val="0"/>
          <w:numId w:val="2"/>
        </w:numPr>
        <w:spacing w:after="160" w:line="259" w:lineRule="auto"/>
        <w:rPr>
          <w:rFonts w:ascii="Calibri" w:hAnsi="Calibri"/>
          <w:sz w:val="24"/>
          <w:szCs w:val="24"/>
        </w:rPr>
      </w:pPr>
      <w:r>
        <w:rPr>
          <w:rFonts w:ascii="Calibri" w:hAnsi="Calibri"/>
          <w:sz w:val="24"/>
          <w:szCs w:val="24"/>
        </w:rPr>
        <w:t xml:space="preserve"> Abutters list (to be obtained by the applicant from the Board of Assessors):  Complete name and mailing address listing all parties in interest within 300’ of all applicant’s property lines, including opposite sides of public or private streets or ways, AND the Planning Boards of Leyden, Bernardston, Greenfield, Colrain, &amp; Guilford VT.</w:t>
      </w:r>
    </w:p>
    <w:p w14:paraId="26A01FAE" w14:textId="77777777" w:rsidR="005967B0" w:rsidRDefault="00D64BE0">
      <w:pPr>
        <w:pStyle w:val="Default"/>
        <w:numPr>
          <w:ilvl w:val="0"/>
          <w:numId w:val="2"/>
        </w:numPr>
        <w:spacing w:after="160" w:line="259" w:lineRule="auto"/>
        <w:rPr>
          <w:rFonts w:ascii="Calibri" w:hAnsi="Calibri"/>
          <w:sz w:val="24"/>
          <w:szCs w:val="24"/>
        </w:rPr>
      </w:pPr>
      <w:r>
        <w:rPr>
          <w:rFonts w:ascii="Calibri" w:hAnsi="Calibri"/>
          <w:sz w:val="24"/>
          <w:szCs w:val="24"/>
        </w:rPr>
        <w:t xml:space="preserve"> Established filing fee(s): $500.00 per Application, plus $8.00 per “Parties in Interest” mailing, payable to Town of Leyden.</w:t>
      </w:r>
    </w:p>
    <w:p w14:paraId="67EC12AD" w14:textId="77777777" w:rsidR="005967B0" w:rsidRDefault="005967B0">
      <w:pPr>
        <w:pStyle w:val="Default"/>
        <w:spacing w:after="160" w:line="259" w:lineRule="auto"/>
        <w:rPr>
          <w:rFonts w:ascii="Calibri" w:eastAsia="Calibri" w:hAnsi="Calibri" w:cs="Calibri"/>
          <w:sz w:val="24"/>
          <w:szCs w:val="24"/>
        </w:rPr>
      </w:pPr>
    </w:p>
    <w:p w14:paraId="66956717" w14:textId="77777777" w:rsidR="005967B0" w:rsidRDefault="00D64BE0">
      <w:pPr>
        <w:pStyle w:val="Default"/>
        <w:spacing w:after="160" w:line="259" w:lineRule="auto"/>
        <w:rPr>
          <w:rFonts w:ascii="Calibri" w:eastAsia="Calibri" w:hAnsi="Calibri" w:cs="Calibri"/>
          <w:sz w:val="24"/>
          <w:szCs w:val="24"/>
        </w:rPr>
      </w:pPr>
      <w:r>
        <w:rPr>
          <w:rFonts w:ascii="Calibri" w:hAnsi="Calibri"/>
          <w:sz w:val="24"/>
          <w:szCs w:val="24"/>
        </w:rPr>
        <w:t>VARIANCES are mechanisms by which a municipal board authorizes a variation from otherwise applicable zoning requirements.</w:t>
      </w:r>
    </w:p>
    <w:p w14:paraId="0CA0BAF2" w14:textId="77777777" w:rsidR="005967B0" w:rsidRDefault="00D64BE0">
      <w:pPr>
        <w:pStyle w:val="Default"/>
        <w:spacing w:after="160" w:line="259" w:lineRule="auto"/>
        <w:rPr>
          <w:rFonts w:ascii="Calibri" w:eastAsia="Calibri" w:hAnsi="Calibri" w:cs="Calibri"/>
          <w:sz w:val="24"/>
          <w:szCs w:val="24"/>
        </w:rPr>
      </w:pPr>
      <w:r>
        <w:rPr>
          <w:rFonts w:ascii="Calibri" w:hAnsi="Calibri"/>
          <w:sz w:val="24"/>
          <w:szCs w:val="24"/>
        </w:rPr>
        <w:t>State law, Chapter 40A Section 10, requires a petitioner requesting a variance to be able to show at the time of the public hearing that:</w:t>
      </w:r>
    </w:p>
    <w:p w14:paraId="0D30845F" w14:textId="77777777" w:rsidR="005967B0" w:rsidRDefault="00D64BE0">
      <w:pPr>
        <w:pStyle w:val="Default"/>
        <w:numPr>
          <w:ilvl w:val="0"/>
          <w:numId w:val="3"/>
        </w:numPr>
        <w:spacing w:after="160" w:line="259" w:lineRule="auto"/>
        <w:rPr>
          <w:rFonts w:ascii="Calibri" w:hAnsi="Calibri"/>
          <w:sz w:val="24"/>
          <w:szCs w:val="24"/>
        </w:rPr>
      </w:pPr>
      <w:r>
        <w:rPr>
          <w:rFonts w:ascii="Calibri" w:hAnsi="Calibri"/>
          <w:sz w:val="24"/>
          <w:szCs w:val="24"/>
        </w:rPr>
        <w:t xml:space="preserve">There are unique circumstances relating to the soil conditions, shape, or topography of the land or structures in question and especially affecting the land and structures, but not affecting generally the zoning district in which the land or structures are </w:t>
      </w:r>
      <w:proofErr w:type="gramStart"/>
      <w:r>
        <w:rPr>
          <w:rFonts w:ascii="Calibri" w:hAnsi="Calibri"/>
          <w:sz w:val="24"/>
          <w:szCs w:val="24"/>
        </w:rPr>
        <w:t>located;</w:t>
      </w:r>
      <w:proofErr w:type="gramEnd"/>
    </w:p>
    <w:p w14:paraId="1952FBAB" w14:textId="77777777" w:rsidR="005967B0" w:rsidRDefault="00D64BE0">
      <w:pPr>
        <w:pStyle w:val="Default"/>
        <w:numPr>
          <w:ilvl w:val="0"/>
          <w:numId w:val="3"/>
        </w:numPr>
        <w:spacing w:after="160" w:line="259" w:lineRule="auto"/>
        <w:rPr>
          <w:rFonts w:ascii="Calibri" w:hAnsi="Calibri"/>
          <w:sz w:val="24"/>
          <w:szCs w:val="24"/>
        </w:rPr>
      </w:pPr>
      <w:r>
        <w:rPr>
          <w:rFonts w:ascii="Calibri" w:hAnsi="Calibri"/>
          <w:sz w:val="24"/>
          <w:szCs w:val="24"/>
        </w:rPr>
        <w:t xml:space="preserve">A literal enforcement of the by-law would involve substantial hardship, financial or otherwise, </w:t>
      </w:r>
      <w:proofErr w:type="gramStart"/>
      <w:r>
        <w:rPr>
          <w:rFonts w:ascii="Calibri" w:hAnsi="Calibri"/>
          <w:sz w:val="24"/>
          <w:szCs w:val="24"/>
        </w:rPr>
        <w:t>and;</w:t>
      </w:r>
      <w:proofErr w:type="gramEnd"/>
    </w:p>
    <w:p w14:paraId="1F8D89B8" w14:textId="77777777" w:rsidR="005967B0" w:rsidRDefault="00D64BE0">
      <w:pPr>
        <w:pStyle w:val="Default"/>
        <w:numPr>
          <w:ilvl w:val="0"/>
          <w:numId w:val="3"/>
        </w:numPr>
        <w:spacing w:after="160" w:line="259" w:lineRule="auto"/>
        <w:rPr>
          <w:rFonts w:ascii="Calibri" w:hAnsi="Calibri"/>
          <w:sz w:val="24"/>
          <w:szCs w:val="24"/>
        </w:rPr>
      </w:pPr>
      <w:r>
        <w:rPr>
          <w:rFonts w:ascii="Calibri" w:hAnsi="Calibri"/>
          <w:sz w:val="24"/>
          <w:szCs w:val="24"/>
        </w:rPr>
        <w:t>Desirable relief may be granted without substantial detriment to the public good and without nullifying or substantially derogating from the intent or purpose of the zoning ordinance or by-law.</w:t>
      </w:r>
    </w:p>
    <w:p w14:paraId="13E90CF9" w14:textId="77777777" w:rsidR="005967B0" w:rsidRDefault="00D64BE0">
      <w:pPr>
        <w:pStyle w:val="Default"/>
        <w:spacing w:after="160" w:line="259" w:lineRule="auto"/>
        <w:rPr>
          <w:rFonts w:ascii="Calibri" w:eastAsia="Calibri" w:hAnsi="Calibri" w:cs="Calibri"/>
          <w:sz w:val="24"/>
          <w:szCs w:val="24"/>
        </w:rPr>
      </w:pPr>
      <w:r>
        <w:rPr>
          <w:rFonts w:ascii="Calibri" w:hAnsi="Calibri"/>
          <w:sz w:val="24"/>
          <w:szCs w:val="24"/>
        </w:rPr>
        <w:t>All three (3) of the above conditions must be met for favorable action on the variance request.  The Applicant must show how the characteristics of the property in question prohibit what he/she is trying to accomplish.</w:t>
      </w:r>
    </w:p>
    <w:p w14:paraId="6EA3579D" w14:textId="77777777" w:rsidR="005967B0" w:rsidRDefault="00D64BE0">
      <w:pPr>
        <w:pStyle w:val="Default"/>
        <w:spacing w:after="160"/>
        <w:rPr>
          <w:rFonts w:ascii="Calibri" w:eastAsia="Calibri" w:hAnsi="Calibri" w:cs="Calibri"/>
          <w:sz w:val="28"/>
          <w:szCs w:val="28"/>
        </w:rPr>
      </w:pPr>
      <w:r>
        <w:rPr>
          <w:rFonts w:ascii="Calibri" w:eastAsia="Calibri" w:hAnsi="Calibri" w:cs="Calibri"/>
          <w:sz w:val="24"/>
          <w:szCs w:val="24"/>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Leyden Zoning Board of Appeals</w:t>
      </w:r>
    </w:p>
    <w:p w14:paraId="3FB768BD" w14:textId="43D553D3" w:rsidR="005967B0" w:rsidRDefault="00D64BE0">
      <w:pPr>
        <w:pStyle w:val="Default"/>
        <w:spacing w:after="160"/>
        <w:rPr>
          <w:rFonts w:ascii="Calibri" w:eastAsia="Calibri" w:hAnsi="Calibri" w:cs="Calibri"/>
        </w:rPr>
      </w:pPr>
      <w:r>
        <w:rPr>
          <w:rFonts w:ascii="Calibri" w:hAnsi="Calibri"/>
          <w:lang w:val="de-DE"/>
        </w:rPr>
        <w:t>[</w:t>
      </w:r>
      <w:proofErr w:type="gramStart"/>
      <w:r>
        <w:rPr>
          <w:rFonts w:ascii="Calibri" w:hAnsi="Calibri"/>
          <w:lang w:val="de-DE"/>
        </w:rPr>
        <w:t>ZBA Form</w:t>
      </w:r>
      <w:proofErr w:type="gramEnd"/>
      <w:r>
        <w:rPr>
          <w:rFonts w:ascii="Calibri" w:hAnsi="Calibri"/>
          <w:lang w:val="de-DE"/>
        </w:rPr>
        <w:t xml:space="preserve"> 2018-2</w:t>
      </w:r>
      <w:r w:rsidR="00A96ECE">
        <w:rPr>
          <w:rFonts w:ascii="Calibri" w:hAnsi="Calibri"/>
          <w:lang w:val="de-DE"/>
        </w:rPr>
        <w:t>, revised Dec 2023</w:t>
      </w:r>
      <w:r>
        <w:rPr>
          <w:rFonts w:ascii="Calibri" w:hAnsi="Calibri"/>
          <w:lang w:val="de-DE"/>
        </w:rPr>
        <w:t>]</w:t>
      </w:r>
    </w:p>
    <w:p w14:paraId="7A39ECA1" w14:textId="77777777" w:rsidR="005967B0" w:rsidRDefault="005967B0">
      <w:pPr>
        <w:pStyle w:val="Default"/>
        <w:spacing w:after="160"/>
        <w:rPr>
          <w:rFonts w:ascii="Calibri" w:eastAsia="Calibri" w:hAnsi="Calibri" w:cs="Calibri"/>
          <w:sz w:val="28"/>
          <w:szCs w:val="28"/>
        </w:rPr>
      </w:pPr>
    </w:p>
    <w:p w14:paraId="1B37D1C1" w14:textId="77777777" w:rsidR="005967B0" w:rsidRDefault="005967B0">
      <w:pPr>
        <w:pStyle w:val="Default"/>
        <w:spacing w:after="160"/>
        <w:rPr>
          <w:rFonts w:ascii="Calibri" w:eastAsia="Calibri" w:hAnsi="Calibri" w:cs="Calibri"/>
          <w:sz w:val="28"/>
          <w:szCs w:val="28"/>
        </w:rPr>
      </w:pPr>
    </w:p>
    <w:p w14:paraId="477696EE" w14:textId="77777777" w:rsidR="005967B0" w:rsidRDefault="005967B0">
      <w:pPr>
        <w:pStyle w:val="Default"/>
        <w:spacing w:after="160"/>
        <w:rPr>
          <w:rFonts w:ascii="Calibri" w:eastAsia="Calibri" w:hAnsi="Calibri" w:cs="Calibri"/>
          <w:sz w:val="28"/>
          <w:szCs w:val="28"/>
        </w:rPr>
      </w:pPr>
    </w:p>
    <w:p w14:paraId="2B88FCAF" w14:textId="77777777" w:rsidR="005967B0" w:rsidRDefault="005967B0">
      <w:pPr>
        <w:pStyle w:val="Default"/>
        <w:spacing w:after="160"/>
        <w:rPr>
          <w:rFonts w:ascii="Calibri" w:eastAsia="Calibri" w:hAnsi="Calibri" w:cs="Calibri"/>
          <w:sz w:val="28"/>
          <w:szCs w:val="28"/>
        </w:rPr>
      </w:pPr>
    </w:p>
    <w:p w14:paraId="41527F58" w14:textId="77777777" w:rsidR="005967B0" w:rsidRDefault="005967B0">
      <w:pPr>
        <w:pStyle w:val="Default"/>
        <w:spacing w:after="160"/>
        <w:rPr>
          <w:rFonts w:ascii="Calibri" w:eastAsia="Calibri" w:hAnsi="Calibri" w:cs="Calibri"/>
          <w:sz w:val="28"/>
          <w:szCs w:val="28"/>
        </w:rPr>
      </w:pPr>
    </w:p>
    <w:p w14:paraId="14EC2E89" w14:textId="77777777" w:rsidR="005967B0" w:rsidRDefault="005967B0">
      <w:pPr>
        <w:pStyle w:val="Default"/>
        <w:spacing w:after="160"/>
        <w:rPr>
          <w:rFonts w:ascii="Calibri" w:eastAsia="Calibri" w:hAnsi="Calibri" w:cs="Calibri"/>
          <w:sz w:val="28"/>
          <w:szCs w:val="28"/>
        </w:rPr>
      </w:pPr>
    </w:p>
    <w:p w14:paraId="43C1EFE6" w14:textId="77777777" w:rsidR="005967B0" w:rsidRDefault="005967B0">
      <w:pPr>
        <w:pStyle w:val="Default"/>
        <w:spacing w:after="160"/>
        <w:rPr>
          <w:rFonts w:ascii="Calibri" w:eastAsia="Calibri" w:hAnsi="Calibri" w:cs="Calibri"/>
          <w:sz w:val="28"/>
          <w:szCs w:val="28"/>
        </w:rPr>
      </w:pPr>
    </w:p>
    <w:p w14:paraId="021D11E4" w14:textId="77777777" w:rsidR="005967B0" w:rsidRDefault="005967B0">
      <w:pPr>
        <w:pStyle w:val="Default"/>
        <w:spacing w:after="160"/>
      </w:pPr>
    </w:p>
    <w:sectPr w:rsidR="005967B0" w:rsidSect="0048619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3D3D" w14:textId="77777777" w:rsidR="00486197" w:rsidRDefault="00486197">
      <w:r>
        <w:separator/>
      </w:r>
    </w:p>
  </w:endnote>
  <w:endnote w:type="continuationSeparator" w:id="0">
    <w:p w14:paraId="4BB12937" w14:textId="77777777" w:rsidR="00486197" w:rsidRDefault="0048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FC73" w14:textId="77777777" w:rsidR="005967B0" w:rsidRDefault="00596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E45F" w14:textId="77777777" w:rsidR="00486197" w:rsidRDefault="00486197">
      <w:r>
        <w:separator/>
      </w:r>
    </w:p>
  </w:footnote>
  <w:footnote w:type="continuationSeparator" w:id="0">
    <w:p w14:paraId="3F3D24BF" w14:textId="77777777" w:rsidR="00486197" w:rsidRDefault="0048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23CA" w14:textId="77777777" w:rsidR="005967B0" w:rsidRDefault="005967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23E0"/>
    <w:multiLevelType w:val="hybridMultilevel"/>
    <w:tmpl w:val="E8024CFA"/>
    <w:styleLink w:val="Numbered"/>
    <w:lvl w:ilvl="0" w:tplc="90B8708E">
      <w:start w:val="1"/>
      <w:numFmt w:val="decimal"/>
      <w:suff w:val="nothing"/>
      <w:lvlText w:val="%1."/>
      <w:lvlJc w:val="left"/>
      <w:pPr>
        <w:ind w:left="36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8D3B6">
      <w:start w:val="1"/>
      <w:numFmt w:val="decimal"/>
      <w:suff w:val="nothing"/>
      <w:lvlText w:val="%2."/>
      <w:lvlJc w:val="left"/>
      <w:pPr>
        <w:ind w:left="54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648A8C">
      <w:start w:val="1"/>
      <w:numFmt w:val="decimal"/>
      <w:suff w:val="nothing"/>
      <w:lvlText w:val="%3."/>
      <w:lvlJc w:val="left"/>
      <w:pPr>
        <w:ind w:left="7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962B88">
      <w:start w:val="1"/>
      <w:numFmt w:val="decimal"/>
      <w:suff w:val="nothing"/>
      <w:lvlText w:val="%4."/>
      <w:lvlJc w:val="left"/>
      <w:pPr>
        <w:ind w:left="90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B0AC06">
      <w:start w:val="1"/>
      <w:numFmt w:val="decimal"/>
      <w:suff w:val="nothing"/>
      <w:lvlText w:val="%5."/>
      <w:lvlJc w:val="left"/>
      <w:pPr>
        <w:ind w:left="108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3E81C4">
      <w:start w:val="1"/>
      <w:numFmt w:val="decimal"/>
      <w:suff w:val="nothing"/>
      <w:lvlText w:val="%6."/>
      <w:lvlJc w:val="left"/>
      <w:pPr>
        <w:ind w:left="126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B8B958">
      <w:start w:val="1"/>
      <w:numFmt w:val="decimal"/>
      <w:suff w:val="nothing"/>
      <w:lvlText w:val="%7."/>
      <w:lvlJc w:val="left"/>
      <w:pPr>
        <w:ind w:left="144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E858B0">
      <w:start w:val="1"/>
      <w:numFmt w:val="decimal"/>
      <w:suff w:val="nothing"/>
      <w:lvlText w:val="%8."/>
      <w:lvlJc w:val="left"/>
      <w:pPr>
        <w:ind w:left="162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80524">
      <w:start w:val="1"/>
      <w:numFmt w:val="decimal"/>
      <w:suff w:val="nothing"/>
      <w:lvlText w:val="%9."/>
      <w:lvlJc w:val="left"/>
      <w:pPr>
        <w:ind w:left="1800"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84950B5"/>
    <w:multiLevelType w:val="hybridMultilevel"/>
    <w:tmpl w:val="E8024CFA"/>
    <w:numStyleLink w:val="Numbered"/>
  </w:abstractNum>
  <w:num w:numId="1" w16cid:durableId="934749985">
    <w:abstractNumId w:val="0"/>
  </w:num>
  <w:num w:numId="2" w16cid:durableId="2067146670">
    <w:abstractNumId w:val="1"/>
  </w:num>
  <w:num w:numId="3" w16cid:durableId="1788625282">
    <w:abstractNumId w:val="1"/>
    <w:lvlOverride w:ilvl="0">
      <w:startOverride w:val="1"/>
      <w:lvl w:ilvl="0" w:tplc="EB5CAD54">
        <w:start w:val="1"/>
        <w:numFmt w:val="decimal"/>
        <w:suff w:val="nothing"/>
        <w:lvlText w:val="%1."/>
        <w:lvlJc w:val="left"/>
        <w:pPr>
          <w:ind w:left="36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4258C0">
        <w:start w:val="1"/>
        <w:numFmt w:val="decimal"/>
        <w:suff w:val="nothing"/>
        <w:lvlText w:val="%2."/>
        <w:lvlJc w:val="left"/>
        <w:pPr>
          <w:ind w:left="54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004FA0">
        <w:start w:val="1"/>
        <w:numFmt w:val="decimal"/>
        <w:suff w:val="nothing"/>
        <w:lvlText w:val="%3."/>
        <w:lvlJc w:val="left"/>
        <w:pPr>
          <w:ind w:left="72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6448B4">
        <w:start w:val="1"/>
        <w:numFmt w:val="decimal"/>
        <w:suff w:val="nothing"/>
        <w:lvlText w:val="%4."/>
        <w:lvlJc w:val="left"/>
        <w:pPr>
          <w:ind w:left="90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440C20">
        <w:start w:val="1"/>
        <w:numFmt w:val="decimal"/>
        <w:suff w:val="nothing"/>
        <w:lvlText w:val="%5."/>
        <w:lvlJc w:val="left"/>
        <w:pPr>
          <w:ind w:left="108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3A9E84">
        <w:start w:val="1"/>
        <w:numFmt w:val="decimal"/>
        <w:suff w:val="nothing"/>
        <w:lvlText w:val="%6."/>
        <w:lvlJc w:val="left"/>
        <w:pPr>
          <w:ind w:left="126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E4DA3A">
        <w:start w:val="1"/>
        <w:numFmt w:val="decimal"/>
        <w:suff w:val="nothing"/>
        <w:lvlText w:val="%7."/>
        <w:lvlJc w:val="left"/>
        <w:pPr>
          <w:ind w:left="144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E238C2">
        <w:start w:val="1"/>
        <w:numFmt w:val="decimal"/>
        <w:suff w:val="nothing"/>
        <w:lvlText w:val="%8."/>
        <w:lvlJc w:val="left"/>
        <w:pPr>
          <w:ind w:left="162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BE2D32">
        <w:start w:val="1"/>
        <w:numFmt w:val="decimal"/>
        <w:suff w:val="nothing"/>
        <w:lvlText w:val="%9."/>
        <w:lvlJc w:val="left"/>
        <w:pPr>
          <w:ind w:left="1800" w:firstLine="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B0"/>
    <w:rsid w:val="000B55D5"/>
    <w:rsid w:val="002B591E"/>
    <w:rsid w:val="00486197"/>
    <w:rsid w:val="005967B0"/>
    <w:rsid w:val="006E4956"/>
    <w:rsid w:val="00A96ECE"/>
    <w:rsid w:val="00B535E8"/>
    <w:rsid w:val="00D64B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EDA4"/>
  <w15:docId w15:val="{8F37518A-C5D6-4FBA-BC7B-9EB23D04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7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7B0"/>
    <w:rPr>
      <w:u w:val="single"/>
    </w:rPr>
  </w:style>
  <w:style w:type="paragraph" w:customStyle="1" w:styleId="Default">
    <w:name w:val="Default"/>
    <w:rsid w:val="005967B0"/>
    <w:rPr>
      <w:rFonts w:ascii="Helvetica Neue" w:hAnsi="Helvetica Neue" w:cs="Arial Unicode MS"/>
      <w:color w:val="000000"/>
      <w:sz w:val="22"/>
      <w:szCs w:val="22"/>
    </w:rPr>
  </w:style>
  <w:style w:type="numbering" w:customStyle="1" w:styleId="Numbered">
    <w:name w:val="Numbered"/>
    <w:rsid w:val="005967B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Admin Assistant</cp:lastModifiedBy>
  <cp:revision>2</cp:revision>
  <cp:lastPrinted>2023-12-06T22:24:00Z</cp:lastPrinted>
  <dcterms:created xsi:type="dcterms:W3CDTF">2024-02-07T15:47:00Z</dcterms:created>
  <dcterms:modified xsi:type="dcterms:W3CDTF">2024-02-07T15:47:00Z</dcterms:modified>
</cp:coreProperties>
</file>